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34" w:rsidRDefault="00DB4656">
      <w:pPr>
        <w:pStyle w:val="Tijeloteksta"/>
        <w:spacing w:before="77" w:line="247" w:lineRule="auto"/>
        <w:ind w:left="1578" w:right="1587"/>
        <w:jc w:val="center"/>
      </w:pPr>
      <w:r>
        <w:rPr>
          <w:spacing w:val="23"/>
        </w:rPr>
        <w:t>II.</w:t>
      </w:r>
      <w:r w:rsidR="0005466C">
        <w:rPr>
          <w:spacing w:val="23"/>
        </w:rPr>
        <w:t xml:space="preserve"> </w:t>
      </w:r>
      <w:r w:rsidR="0005466C">
        <w:t>IZMJEN</w:t>
      </w:r>
      <w:r>
        <w:t>e</w:t>
      </w:r>
      <w:r w:rsidR="0005466C">
        <w:rPr>
          <w:spacing w:val="14"/>
        </w:rPr>
        <w:t xml:space="preserve"> </w:t>
      </w:r>
      <w:r w:rsidR="0005466C">
        <w:t>I</w:t>
      </w:r>
      <w:r w:rsidR="0005466C">
        <w:rPr>
          <w:spacing w:val="24"/>
        </w:rPr>
        <w:t xml:space="preserve"> </w:t>
      </w:r>
      <w:r w:rsidR="0005466C">
        <w:t>DOPUN</w:t>
      </w:r>
      <w:r>
        <w:t>e</w:t>
      </w:r>
      <w:r w:rsidR="0005466C">
        <w:rPr>
          <w:spacing w:val="13"/>
        </w:rPr>
        <w:t xml:space="preserve"> </w:t>
      </w:r>
      <w:r w:rsidR="0005466C">
        <w:t>FINANCIJSKOG</w:t>
      </w:r>
      <w:r w:rsidR="0005466C">
        <w:rPr>
          <w:spacing w:val="24"/>
        </w:rPr>
        <w:t xml:space="preserve"> </w:t>
      </w:r>
      <w:r w:rsidR="0005466C">
        <w:t>PLANA</w:t>
      </w:r>
      <w:r w:rsidR="0005466C">
        <w:rPr>
          <w:spacing w:val="14"/>
        </w:rPr>
        <w:t xml:space="preserve"> </w:t>
      </w:r>
      <w:r w:rsidR="0005466C">
        <w:t>SREDNJ</w:t>
      </w:r>
      <w:r>
        <w:t>e</w:t>
      </w:r>
      <w:r w:rsidR="0005466C">
        <w:rPr>
          <w:spacing w:val="13"/>
        </w:rPr>
        <w:t xml:space="preserve"> </w:t>
      </w:r>
      <w:r w:rsidR="0005466C">
        <w:t>ŠKOL</w:t>
      </w:r>
      <w:r>
        <w:t>e</w:t>
      </w:r>
      <w:bookmarkStart w:id="0" w:name="_GoBack"/>
      <w:bookmarkEnd w:id="0"/>
      <w:r w:rsidR="0005466C">
        <w:rPr>
          <w:spacing w:val="-49"/>
        </w:rPr>
        <w:t xml:space="preserve"> </w:t>
      </w:r>
      <w:r w:rsidR="0005466C">
        <w:rPr>
          <w:w w:val="105"/>
        </w:rPr>
        <w:t>KOPRIVNICA</w:t>
      </w:r>
      <w:r w:rsidR="0005466C">
        <w:rPr>
          <w:spacing w:val="-10"/>
          <w:w w:val="105"/>
        </w:rPr>
        <w:t xml:space="preserve"> </w:t>
      </w:r>
      <w:r w:rsidR="0005466C">
        <w:rPr>
          <w:w w:val="105"/>
        </w:rPr>
        <w:t>ZA</w:t>
      </w:r>
      <w:r w:rsidR="0005466C">
        <w:rPr>
          <w:spacing w:val="-9"/>
          <w:w w:val="105"/>
        </w:rPr>
        <w:t xml:space="preserve"> </w:t>
      </w:r>
      <w:r w:rsidR="0005466C">
        <w:rPr>
          <w:w w:val="105"/>
        </w:rPr>
        <w:t>2023.</w:t>
      </w:r>
      <w:r w:rsidR="0005466C">
        <w:rPr>
          <w:spacing w:val="-3"/>
          <w:w w:val="105"/>
        </w:rPr>
        <w:t xml:space="preserve"> </w:t>
      </w:r>
      <w:r w:rsidR="0005466C">
        <w:rPr>
          <w:w w:val="105"/>
        </w:rPr>
        <w:t>GODINU</w:t>
      </w:r>
    </w:p>
    <w:p w:rsidR="005B3134" w:rsidRDefault="005B3134">
      <w:pPr>
        <w:spacing w:before="5"/>
        <w:rPr>
          <w:b/>
          <w:sz w:val="30"/>
        </w:rPr>
      </w:pPr>
    </w:p>
    <w:p w:rsidR="005B3134" w:rsidRDefault="0005466C">
      <w:pPr>
        <w:pStyle w:val="Naslov"/>
        <w:ind w:left="4541"/>
      </w:pPr>
      <w:r>
        <w:t>I. OPĆI DIO</w:t>
      </w:r>
    </w:p>
    <w:p w:rsidR="005B3134" w:rsidRDefault="005B3134">
      <w:pPr>
        <w:spacing w:before="2"/>
        <w:rPr>
          <w:b/>
          <w:sz w:val="29"/>
        </w:rPr>
      </w:pPr>
    </w:p>
    <w:p w:rsidR="005B3134" w:rsidRDefault="0005466C">
      <w:pPr>
        <w:pStyle w:val="Naslov"/>
        <w:ind w:right="3492"/>
        <w:jc w:val="center"/>
      </w:pPr>
      <w:r>
        <w:t>A) RAČUN PRIHODA I RASHODA</w:t>
      </w:r>
    </w:p>
    <w:p w:rsidR="005B3134" w:rsidRDefault="005B3134">
      <w:pPr>
        <w:rPr>
          <w:b/>
        </w:rPr>
      </w:pPr>
    </w:p>
    <w:p w:rsidR="005B3134" w:rsidRDefault="0005466C">
      <w:pPr>
        <w:pStyle w:val="Tijeloteksta"/>
        <w:spacing w:before="132"/>
        <w:ind w:left="3483" w:right="3492"/>
        <w:jc w:val="center"/>
      </w:pPr>
      <w:r>
        <w:t>PRIHODI</w:t>
      </w:r>
      <w:r>
        <w:rPr>
          <w:spacing w:val="24"/>
        </w:rPr>
        <w:t xml:space="preserve"> </w:t>
      </w:r>
      <w:r>
        <w:t>POSLOVANJA</w:t>
      </w:r>
    </w:p>
    <w:p w:rsidR="005B3134" w:rsidRDefault="005B3134">
      <w:pPr>
        <w:spacing w:before="7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8"/>
        <w:gridCol w:w="3344"/>
        <w:gridCol w:w="1735"/>
        <w:gridCol w:w="1735"/>
        <w:gridCol w:w="1822"/>
      </w:tblGrid>
      <w:tr w:rsidR="005B3134">
        <w:trPr>
          <w:trHeight w:val="526"/>
        </w:trPr>
        <w:tc>
          <w:tcPr>
            <w:tcW w:w="643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628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3344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1108" w:right="1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Naziv prihoda</w:t>
            </w:r>
          </w:p>
        </w:tc>
        <w:tc>
          <w:tcPr>
            <w:tcW w:w="1735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1735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Povećanje/smanjenje</w:t>
            </w:r>
          </w:p>
        </w:tc>
        <w:tc>
          <w:tcPr>
            <w:tcW w:w="1822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7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3.099.388,54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- 19.633,00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3.079.755,54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107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63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12" w:line="180" w:lineRule="atLeast"/>
              <w:ind w:left="36" w:right="20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iz inozemstva i od subjekata unutar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2.729.470,00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9.340,00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2.720.130,00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45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703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NESPOMENUTI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PRORAČUNSKI 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681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POMOĆI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OSTALIH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SUBJEKATA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UNUTAR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OPĆE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DRŽAVE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2.396.550,00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119.150,00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2.515.700,00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271.730,00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- 129.800,00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141.930,00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56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POMOĆI IZ PRORAČUNA - EU ŽUPANIJA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19.100,00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8.310,00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27.410,00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58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84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SREDSTVA EU - </w:t>
            </w:r>
            <w:r>
              <w:rPr>
                <w:i/>
                <w:sz w:val="16"/>
              </w:rPr>
              <w:t>PRORAČUNSKI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42.060,00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- 7.000,00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35.060,00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107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65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12" w:line="180" w:lineRule="atLeast"/>
              <w:ind w:left="36" w:right="1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 od upravnih i administrativnih pristojbi,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pristojbi po posebnim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propisima 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naknada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2.760,00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1.400,00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4.160,00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45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703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NESPOMENUTI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PRORAČUNSKI 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2.260,00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1.400,00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3.660,00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73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107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PRIHODI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ŠTETA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OSNOVA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OSIGURANJA-PK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107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66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12" w:line="180" w:lineRule="atLeast"/>
              <w:ind w:left="36" w:right="62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Prihodi od prodaje proizvoda i robe te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pruženih usluga i prihodi od donacija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20.867,00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1.400,00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22.267,00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552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16.767,00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1.400,00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18.167,00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63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DONACIJE-PK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4.100,00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4.100,00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107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67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12" w:line="180" w:lineRule="atLeast"/>
              <w:ind w:left="36" w:right="14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Prihodi iz nadležnog proračuna i od HZZO-a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temeljem ugovornih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obveza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346.291,54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13.093,00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333.198,54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554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POREZA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REDOVNU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DJELATNOST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38.368,00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223,00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38.591,00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738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DECENTRALIZIRANA SREDSTVA-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SREDNJE ŠKOLSTVO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307.923,54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- 13.316,00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294.607,54</w:t>
            </w:r>
          </w:p>
        </w:tc>
      </w:tr>
    </w:tbl>
    <w:p w:rsidR="005B3134" w:rsidRDefault="0005466C">
      <w:pPr>
        <w:pStyle w:val="Tijeloteksta"/>
        <w:spacing w:before="86"/>
        <w:ind w:left="3483" w:right="3492"/>
        <w:jc w:val="center"/>
      </w:pPr>
      <w:r>
        <w:t>RASHODI</w:t>
      </w:r>
      <w:r>
        <w:rPr>
          <w:spacing w:val="25"/>
        </w:rPr>
        <w:t xml:space="preserve"> </w:t>
      </w:r>
      <w:r>
        <w:t>POSLOVANJA</w:t>
      </w:r>
    </w:p>
    <w:p w:rsidR="005B3134" w:rsidRDefault="005B3134">
      <w:pPr>
        <w:spacing w:before="7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8"/>
        <w:gridCol w:w="3344"/>
        <w:gridCol w:w="1735"/>
        <w:gridCol w:w="1735"/>
        <w:gridCol w:w="1822"/>
      </w:tblGrid>
      <w:tr w:rsidR="005B3134">
        <w:trPr>
          <w:trHeight w:val="526"/>
        </w:trPr>
        <w:tc>
          <w:tcPr>
            <w:tcW w:w="643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628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3344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1108" w:right="1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Naziv rashoda</w:t>
            </w:r>
          </w:p>
        </w:tc>
        <w:tc>
          <w:tcPr>
            <w:tcW w:w="1735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1735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Povećanje/smanjenje</w:t>
            </w:r>
          </w:p>
        </w:tc>
        <w:tc>
          <w:tcPr>
            <w:tcW w:w="1822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7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3.061.854,83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- 4.317,00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3.057.537,83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80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31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80"/>
              <w:ind w:left="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zaposlene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2.450.150,00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124.406,00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2.574.556,00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554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POREZA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REDOVNU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DJELATNOST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652,00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1.642,00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2.294,00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552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5.330,00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1.400,00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6.730,00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681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POMOĆI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OSTALIH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SUBJEKATA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UNUTAR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OPĆE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DRŽAVE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2.394.600,00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120.000,00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2.514.600,00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19.400,00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19.400,00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56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POMOĆI IZ PRORAČUNA - EU ŽUPANIJA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12.408,00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8.364,00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20.772,00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58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84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SREDSTVA EU - </w:t>
            </w:r>
            <w:r>
              <w:rPr>
                <w:i/>
                <w:sz w:val="16"/>
              </w:rPr>
              <w:t>PRORAČUNSKI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17.760,00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- 7.000,00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10.760,00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80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32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80"/>
              <w:ind w:left="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608.081,83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128.593,00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479.488,83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554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POREZA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REDOVNU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DJELATNOST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37.716,00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- 1.419,00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36.297,00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738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DECENTRALIZIRANA SREDSTVA-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SREDNJE ŠKOLSTVO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271.816,00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130,00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271.946,00</w:t>
            </w:r>
          </w:p>
        </w:tc>
      </w:tr>
    </w:tbl>
    <w:p w:rsidR="005B3134" w:rsidRDefault="005B3134">
      <w:pPr>
        <w:jc w:val="right"/>
        <w:rPr>
          <w:sz w:val="16"/>
        </w:rPr>
        <w:sectPr w:rsidR="005B3134">
          <w:type w:val="continuous"/>
          <w:pgSz w:w="11900" w:h="16840"/>
          <w:pgMar w:top="800" w:right="720" w:bottom="280" w:left="1020" w:header="720" w:footer="720" w:gutter="0"/>
          <w:cols w:space="720"/>
        </w:sectPr>
      </w:pPr>
    </w:p>
    <w:p w:rsidR="005B3134" w:rsidRDefault="0005466C">
      <w:pPr>
        <w:pStyle w:val="Tijeloteksta"/>
        <w:spacing w:before="77"/>
        <w:ind w:left="3483" w:right="3492"/>
        <w:jc w:val="center"/>
      </w:pPr>
      <w:r>
        <w:lastRenderedPageBreak/>
        <w:t>RASHODI</w:t>
      </w:r>
      <w:r>
        <w:rPr>
          <w:spacing w:val="25"/>
        </w:rPr>
        <w:t xml:space="preserve"> </w:t>
      </w:r>
      <w:r>
        <w:t>POSLOVANJA</w:t>
      </w:r>
    </w:p>
    <w:p w:rsidR="005B3134" w:rsidRDefault="005B3134">
      <w:pPr>
        <w:spacing w:before="6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8"/>
        <w:gridCol w:w="3344"/>
        <w:gridCol w:w="1735"/>
        <w:gridCol w:w="1735"/>
        <w:gridCol w:w="1822"/>
      </w:tblGrid>
      <w:tr w:rsidR="005B3134">
        <w:trPr>
          <w:trHeight w:val="526"/>
        </w:trPr>
        <w:tc>
          <w:tcPr>
            <w:tcW w:w="643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628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3344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1108" w:right="1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Naziv rashoda</w:t>
            </w:r>
          </w:p>
        </w:tc>
        <w:tc>
          <w:tcPr>
            <w:tcW w:w="1735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1735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Povećanje/smanjenje</w:t>
            </w:r>
          </w:p>
        </w:tc>
        <w:tc>
          <w:tcPr>
            <w:tcW w:w="1822" w:type="dxa"/>
            <w:shd w:val="clear" w:color="auto" w:fill="DCDCDC"/>
          </w:tcPr>
          <w:p w:rsidR="005B3134" w:rsidRDefault="005B31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B3134" w:rsidRDefault="0005466C">
            <w:pPr>
              <w:pStyle w:val="TableParagraph"/>
              <w:spacing w:before="0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552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7.467,00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9.467,00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45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703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NESPOMENUTI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PRORAČUNSKI 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2.290,00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1.400,00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3.690,00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681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POMOĆI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OSTALIH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SUBJEKATA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UNUTAR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OPĆE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DRŽAVE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1.950,00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- 850,00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1.100,00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248.375,84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- 129.800,00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118.575,84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56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POMOĆI IZ PRORAČUNA - EU ŽUPANIJA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6.692,00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- 54,00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6.638,00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58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84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SREDSTVA EU - </w:t>
            </w:r>
            <w:r>
              <w:rPr>
                <w:i/>
                <w:sz w:val="16"/>
              </w:rPr>
              <w:t>PRORAČUNSKI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28.674,99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28.674,99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63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DONACIJE-PK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3.100,00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3.100,00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80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34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80"/>
              <w:ind w:left="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266,00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130,00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136,00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738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DECENTRALIZIRANA SREDSTVA-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SREDNJE ŠKOLSTVO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266,00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- 130,00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136,00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107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37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12" w:line="180" w:lineRule="atLeast"/>
              <w:ind w:left="36" w:right="4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građanima i kućanstvima na temelju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osiguranja 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druge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naknade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600,00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600,00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80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38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80"/>
              <w:ind w:left="3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2.757,00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80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2.757,00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2.757,00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2.757,00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7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34.651,88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- 15.316,00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19.335,88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107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42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12" w:line="180" w:lineRule="atLeast"/>
              <w:ind w:left="36" w:right="19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 dugotrajne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imovine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21.335,88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2.000,00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19.335,88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738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DECENTRALIZIRANA SREDSTVA-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SREDNJE ŠKOLSTVO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9.953,00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9.953,00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552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7.482,88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- 2.000,00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5.482,88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2.400,00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2.400,00</w:t>
            </w:r>
          </w:p>
        </w:tc>
      </w:tr>
      <w:tr w:rsidR="005B3134">
        <w:trPr>
          <w:trHeight w:val="345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63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78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DONACIJE-PK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78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73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107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PRIHODI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ŠTETA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OSNOVA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OSIGURANJA-PK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05466C">
            <w:pPr>
              <w:pStyle w:val="TableParagraph"/>
              <w:spacing w:before="107"/>
              <w:ind w:left="3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45</w:t>
            </w:r>
          </w:p>
        </w:tc>
        <w:tc>
          <w:tcPr>
            <w:tcW w:w="628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12" w:line="180" w:lineRule="atLeast"/>
              <w:ind w:left="36" w:right="9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dodatna ulaganja na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nefinancijskoj imovini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13.316,00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13.316,00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spacing w:before="107"/>
              <w:ind w:right="1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 w:rsidR="005B3134">
        <w:trPr>
          <w:trHeight w:val="397"/>
        </w:trPr>
        <w:tc>
          <w:tcPr>
            <w:tcW w:w="643" w:type="dxa"/>
          </w:tcPr>
          <w:p w:rsidR="005B3134" w:rsidRDefault="005B31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5B3134" w:rsidRDefault="0005466C">
            <w:pPr>
              <w:pStyle w:val="TableParagraph"/>
              <w:ind w:left="36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344" w:type="dxa"/>
          </w:tcPr>
          <w:p w:rsidR="005B3134" w:rsidRDefault="0005466C">
            <w:pPr>
              <w:pStyle w:val="TableParagraph"/>
              <w:spacing w:before="9"/>
              <w:ind w:left="36" w:right="738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DECENTRALIZIRANA SREDSTVA-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SREDNJE ŠKOLSTVO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13.316,00</w:t>
            </w:r>
          </w:p>
        </w:tc>
        <w:tc>
          <w:tcPr>
            <w:tcW w:w="1735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- 13.316,00</w:t>
            </w:r>
          </w:p>
        </w:tc>
        <w:tc>
          <w:tcPr>
            <w:tcW w:w="1822" w:type="dxa"/>
          </w:tcPr>
          <w:p w:rsidR="005B3134" w:rsidRDefault="0005466C">
            <w:pPr>
              <w:pStyle w:val="TableParagraph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05466C" w:rsidRDefault="0005466C"/>
    <w:sectPr w:rsidR="0005466C">
      <w:pgSz w:w="11900" w:h="16840"/>
      <w:pgMar w:top="8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134"/>
    <w:rsid w:val="0005466C"/>
    <w:rsid w:val="005B3134"/>
    <w:rsid w:val="00D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A3AD"/>
  <w15:docId w15:val="{696982D9-1686-481A-948B-A18539F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"/>
    </w:pPr>
    <w:rPr>
      <w:b/>
      <w:bCs/>
      <w:sz w:val="19"/>
      <w:szCs w:val="19"/>
    </w:rPr>
  </w:style>
  <w:style w:type="paragraph" w:styleId="Naslov">
    <w:name w:val="Title"/>
    <w:basedOn w:val="Normal"/>
    <w:uiPriority w:val="10"/>
    <w:qFormat/>
    <w:pPr>
      <w:ind w:left="3483"/>
    </w:pPr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racunovodstvo</cp:lastModifiedBy>
  <cp:revision>2</cp:revision>
  <dcterms:created xsi:type="dcterms:W3CDTF">2024-02-05T07:00:00Z</dcterms:created>
  <dcterms:modified xsi:type="dcterms:W3CDTF">2024-02-05T07:02:00Z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LastSaved">
    <vt:filetime>2024-02-05T00:00:00Z</vt:filetime>
  </property>
</Properties>
</file>