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0B" w:rsidRDefault="00CA010B" w:rsidP="00CA010B">
      <w:r>
        <w:t xml:space="preserve">OBRAZLOŽENJE  </w:t>
      </w:r>
      <w:bookmarkStart w:id="0" w:name="_GoBack"/>
      <w:bookmarkEnd w:id="0"/>
      <w:r>
        <w:t xml:space="preserve">  IZMJENA I DOPUNA FINANCIJSKOG PLANA ZA 2025. GODINU</w:t>
      </w:r>
      <w:r>
        <w:tab/>
      </w:r>
    </w:p>
    <w:p w:rsidR="00CA010B" w:rsidRDefault="00CA010B" w:rsidP="00CA010B">
      <w:r>
        <w:t>U Izmjenama i dopunama  financijskog plana za 2025. izvršene su korekcije po izvorima financiranja, ovisno o tome koje aktivnosti se planiraju do kraja tekuće godine što je vidljivo u sažetku prihoda i rashoda u nastavku.</w:t>
      </w:r>
      <w:r>
        <w:tab/>
      </w:r>
      <w:r>
        <w:tab/>
      </w:r>
      <w:r>
        <w:tab/>
      </w:r>
    </w:p>
    <w:p w:rsidR="00CA010B" w:rsidRDefault="00CA010B" w:rsidP="00CA010B">
      <w:r>
        <w:t>I. OPĆI DIO</w:t>
      </w:r>
      <w:r>
        <w:tab/>
      </w:r>
      <w:r>
        <w:tab/>
      </w:r>
      <w:r>
        <w:tab/>
      </w:r>
      <w:r>
        <w:tab/>
      </w:r>
      <w:r>
        <w:tab/>
      </w:r>
      <w:r>
        <w:tab/>
      </w:r>
    </w:p>
    <w:p w:rsidR="00CA010B" w:rsidRDefault="00CA010B" w:rsidP="00CA010B">
      <w:r>
        <w:t>A) SAŽETAK RAČUNA PRIHODA I RASHODA</w:t>
      </w:r>
      <w:r>
        <w:tab/>
      </w:r>
      <w:r>
        <w:tab/>
      </w:r>
      <w:r>
        <w:tab/>
      </w:r>
      <w:r>
        <w:tab/>
      </w:r>
      <w:r>
        <w:tab/>
      </w:r>
      <w:r>
        <w:tab/>
      </w:r>
    </w:p>
    <w:p w:rsidR="00CA010B" w:rsidRDefault="00CA010B" w:rsidP="00CA010B"/>
    <w:tbl>
      <w:tblPr>
        <w:tblW w:w="9880" w:type="dxa"/>
        <w:tblInd w:w="108" w:type="dxa"/>
        <w:tblLook w:val="04A0" w:firstRow="1" w:lastRow="0" w:firstColumn="1" w:lastColumn="0" w:noHBand="0" w:noVBand="1"/>
      </w:tblPr>
      <w:tblGrid>
        <w:gridCol w:w="4240"/>
        <w:gridCol w:w="1880"/>
        <w:gridCol w:w="1880"/>
        <w:gridCol w:w="1880"/>
      </w:tblGrid>
      <w:tr w:rsidR="00CA010B" w:rsidRPr="00CA010B" w:rsidTr="00CA010B">
        <w:trPr>
          <w:trHeight w:val="315"/>
        </w:trPr>
        <w:tc>
          <w:tcPr>
            <w:tcW w:w="424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 </w:t>
            </w:r>
          </w:p>
        </w:tc>
        <w:tc>
          <w:tcPr>
            <w:tcW w:w="1880" w:type="dxa"/>
            <w:tcBorders>
              <w:top w:val="single" w:sz="8" w:space="0" w:color="000000"/>
              <w:left w:val="nil"/>
              <w:bottom w:val="single" w:sz="8" w:space="0" w:color="000000"/>
              <w:right w:val="single" w:sz="8" w:space="0" w:color="000000"/>
            </w:tcBorders>
            <w:shd w:val="clear" w:color="auto" w:fill="auto"/>
            <w:noWrap/>
            <w:vAlign w:val="center"/>
            <w:hideMark/>
          </w:tcPr>
          <w:p w:rsidR="00CA010B" w:rsidRPr="00CA010B" w:rsidRDefault="00CA010B" w:rsidP="00CA010B">
            <w:pPr>
              <w:spacing w:after="0" w:line="240" w:lineRule="auto"/>
              <w:jc w:val="center"/>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Plan za 2025.</w:t>
            </w:r>
          </w:p>
        </w:tc>
        <w:tc>
          <w:tcPr>
            <w:tcW w:w="1880" w:type="dxa"/>
            <w:tcBorders>
              <w:top w:val="single" w:sz="8" w:space="0" w:color="000000"/>
              <w:left w:val="nil"/>
              <w:bottom w:val="single" w:sz="8" w:space="0" w:color="000000"/>
              <w:right w:val="single" w:sz="8" w:space="0" w:color="000000"/>
            </w:tcBorders>
            <w:shd w:val="clear" w:color="auto" w:fill="auto"/>
            <w:noWrap/>
            <w:vAlign w:val="center"/>
            <w:hideMark/>
          </w:tcPr>
          <w:p w:rsidR="00CA010B" w:rsidRPr="00CA010B" w:rsidRDefault="00CA010B" w:rsidP="00CA010B">
            <w:pPr>
              <w:spacing w:after="0" w:line="240" w:lineRule="auto"/>
              <w:jc w:val="center"/>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Povećanje/smanjenje</w:t>
            </w:r>
          </w:p>
        </w:tc>
        <w:tc>
          <w:tcPr>
            <w:tcW w:w="1880" w:type="dxa"/>
            <w:tcBorders>
              <w:top w:val="single" w:sz="8" w:space="0" w:color="000000"/>
              <w:left w:val="nil"/>
              <w:bottom w:val="single" w:sz="8" w:space="0" w:color="000000"/>
              <w:right w:val="single" w:sz="8" w:space="0" w:color="000000"/>
            </w:tcBorders>
            <w:shd w:val="clear" w:color="auto" w:fill="auto"/>
            <w:noWrap/>
            <w:vAlign w:val="center"/>
            <w:hideMark/>
          </w:tcPr>
          <w:p w:rsidR="00CA010B" w:rsidRPr="00CA010B" w:rsidRDefault="00CA010B" w:rsidP="00CA010B">
            <w:pPr>
              <w:spacing w:after="0" w:line="240" w:lineRule="auto"/>
              <w:jc w:val="center"/>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Novi plan za 2025.</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PRIHODI UKUPNO</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3.790.693,00</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1C5313"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color w:val="000000"/>
                <w:sz w:val="16"/>
                <w:szCs w:val="16"/>
                <w:lang w:eastAsia="hr-HR"/>
              </w:rPr>
              <w:t>60</w:t>
            </w:r>
            <w:r>
              <w:rPr>
                <w:rFonts w:ascii="Arial" w:eastAsia="Times New Roman" w:hAnsi="Arial" w:cs="Arial"/>
                <w:color w:val="000000"/>
                <w:sz w:val="16"/>
                <w:szCs w:val="16"/>
                <w:lang w:eastAsia="hr-HR"/>
              </w:rPr>
              <w:t>3.382,84</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4.39</w:t>
            </w:r>
            <w:r w:rsidR="001C5313">
              <w:rPr>
                <w:rFonts w:ascii="Arial" w:eastAsia="Times New Roman" w:hAnsi="Arial" w:cs="Arial"/>
                <w:b/>
                <w:bCs/>
                <w:color w:val="000000"/>
                <w:sz w:val="16"/>
                <w:szCs w:val="16"/>
                <w:lang w:eastAsia="hr-HR"/>
              </w:rPr>
              <w:t>4.075,84</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PRIHODI POSLOVANJA</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3.788.693,00</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60</w:t>
            </w:r>
            <w:r w:rsidR="001C5313">
              <w:rPr>
                <w:rFonts w:ascii="Arial" w:eastAsia="Times New Roman" w:hAnsi="Arial" w:cs="Arial"/>
                <w:color w:val="000000"/>
                <w:sz w:val="16"/>
                <w:szCs w:val="16"/>
                <w:lang w:eastAsia="hr-HR"/>
              </w:rPr>
              <w:t>3.382,84</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4.39</w:t>
            </w:r>
            <w:r w:rsidR="001C5313">
              <w:rPr>
                <w:rFonts w:ascii="Arial" w:eastAsia="Times New Roman" w:hAnsi="Arial" w:cs="Arial"/>
                <w:color w:val="000000"/>
                <w:sz w:val="16"/>
                <w:szCs w:val="16"/>
                <w:lang w:eastAsia="hr-HR"/>
              </w:rPr>
              <w:t>2.075,84</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PRIHODI OD PRODAJE NEFINANCIJSKE IMOVINE</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2000,00</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0,00</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2000,00</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RASHODI UKUPNO</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3.807.943,00</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57</w:t>
            </w:r>
            <w:r w:rsidR="001C5313">
              <w:rPr>
                <w:rFonts w:ascii="Arial" w:eastAsia="Times New Roman" w:hAnsi="Arial" w:cs="Arial"/>
                <w:b/>
                <w:bCs/>
                <w:color w:val="000000"/>
                <w:sz w:val="16"/>
                <w:szCs w:val="16"/>
                <w:lang w:eastAsia="hr-HR"/>
              </w:rPr>
              <w:t>4.468,41</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4.38</w:t>
            </w:r>
            <w:r w:rsidR="001C5313">
              <w:rPr>
                <w:rFonts w:ascii="Arial" w:eastAsia="Times New Roman" w:hAnsi="Arial" w:cs="Arial"/>
                <w:b/>
                <w:bCs/>
                <w:color w:val="000000"/>
                <w:sz w:val="16"/>
                <w:szCs w:val="16"/>
                <w:lang w:eastAsia="hr-HR"/>
              </w:rPr>
              <w:t>2.411,41</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RASHODI POSLOVANJA</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3.771.943,00</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57</w:t>
            </w:r>
            <w:r w:rsidR="001C5313">
              <w:rPr>
                <w:rFonts w:ascii="Arial" w:eastAsia="Times New Roman" w:hAnsi="Arial" w:cs="Arial"/>
                <w:color w:val="000000"/>
                <w:sz w:val="16"/>
                <w:szCs w:val="16"/>
                <w:lang w:eastAsia="hr-HR"/>
              </w:rPr>
              <w:t>4.468,41</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4.34</w:t>
            </w:r>
            <w:r w:rsidR="001C5313">
              <w:rPr>
                <w:rFonts w:ascii="Arial" w:eastAsia="Times New Roman" w:hAnsi="Arial" w:cs="Arial"/>
                <w:color w:val="000000"/>
                <w:sz w:val="16"/>
                <w:szCs w:val="16"/>
                <w:lang w:eastAsia="hr-HR"/>
              </w:rPr>
              <w:t>6.411,41</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RASHODI ZA NABAVU NEFINANCIJSKE IMOVINE</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36.000,00</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 </w:t>
            </w:r>
          </w:p>
        </w:tc>
        <w:tc>
          <w:tcPr>
            <w:tcW w:w="1880" w:type="dxa"/>
            <w:tcBorders>
              <w:top w:val="nil"/>
              <w:left w:val="nil"/>
              <w:bottom w:val="single" w:sz="8" w:space="0" w:color="000000"/>
              <w:right w:val="single" w:sz="8" w:space="0" w:color="000000"/>
            </w:tcBorders>
            <w:shd w:val="clear" w:color="auto" w:fill="auto"/>
            <w:vAlign w:val="center"/>
            <w:hideMark/>
          </w:tcPr>
          <w:p w:rsidR="00CA010B" w:rsidRPr="00CA010B" w:rsidRDefault="00CA010B" w:rsidP="00CA010B">
            <w:pPr>
              <w:spacing w:after="0" w:line="240" w:lineRule="auto"/>
              <w:jc w:val="right"/>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36.000,00</w:t>
            </w:r>
          </w:p>
        </w:tc>
      </w:tr>
      <w:tr w:rsidR="00CA010B" w:rsidRPr="00CA010B" w:rsidTr="00CA010B">
        <w:trPr>
          <w:trHeight w:val="315"/>
        </w:trPr>
        <w:tc>
          <w:tcPr>
            <w:tcW w:w="4240" w:type="dxa"/>
            <w:tcBorders>
              <w:top w:val="nil"/>
              <w:left w:val="single" w:sz="8" w:space="0" w:color="000000"/>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rPr>
                <w:rFonts w:ascii="Arial" w:eastAsia="Times New Roman" w:hAnsi="Arial" w:cs="Arial"/>
                <w:color w:val="000000"/>
                <w:sz w:val="16"/>
                <w:szCs w:val="16"/>
                <w:lang w:eastAsia="hr-HR"/>
              </w:rPr>
            </w:pPr>
            <w:r w:rsidRPr="00CA010B">
              <w:rPr>
                <w:rFonts w:ascii="Arial" w:eastAsia="Times New Roman" w:hAnsi="Arial" w:cs="Arial"/>
                <w:color w:val="000000"/>
                <w:sz w:val="16"/>
                <w:szCs w:val="16"/>
                <w:lang w:eastAsia="hr-HR"/>
              </w:rPr>
              <w:t>RAZLIKA - VIŠAK / MANJAK</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-17.250,00</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28</w:t>
            </w:r>
            <w:r w:rsidR="00871E8C">
              <w:rPr>
                <w:rFonts w:ascii="Arial" w:eastAsia="Times New Roman" w:hAnsi="Arial" w:cs="Arial"/>
                <w:b/>
                <w:bCs/>
                <w:color w:val="000000"/>
                <w:sz w:val="16"/>
                <w:szCs w:val="16"/>
                <w:lang w:eastAsia="hr-HR"/>
              </w:rPr>
              <w:t>.</w:t>
            </w:r>
            <w:r w:rsidRPr="00CA010B">
              <w:rPr>
                <w:rFonts w:ascii="Arial" w:eastAsia="Times New Roman" w:hAnsi="Arial" w:cs="Arial"/>
                <w:b/>
                <w:bCs/>
                <w:color w:val="000000"/>
                <w:sz w:val="16"/>
                <w:szCs w:val="16"/>
                <w:lang w:eastAsia="hr-HR"/>
              </w:rPr>
              <w:t>914,43</w:t>
            </w:r>
          </w:p>
        </w:tc>
        <w:tc>
          <w:tcPr>
            <w:tcW w:w="1880" w:type="dxa"/>
            <w:tcBorders>
              <w:top w:val="nil"/>
              <w:left w:val="nil"/>
              <w:bottom w:val="single" w:sz="8" w:space="0" w:color="000000"/>
              <w:right w:val="single" w:sz="8" w:space="0" w:color="000000"/>
            </w:tcBorders>
            <w:shd w:val="clear" w:color="000000" w:fill="DCDCDC"/>
            <w:vAlign w:val="center"/>
            <w:hideMark/>
          </w:tcPr>
          <w:p w:rsidR="00CA010B" w:rsidRPr="00CA010B" w:rsidRDefault="00CA010B" w:rsidP="00CA010B">
            <w:pPr>
              <w:spacing w:after="0" w:line="240" w:lineRule="auto"/>
              <w:jc w:val="right"/>
              <w:rPr>
                <w:rFonts w:ascii="Arial" w:eastAsia="Times New Roman" w:hAnsi="Arial" w:cs="Arial"/>
                <w:b/>
                <w:bCs/>
                <w:color w:val="000000"/>
                <w:sz w:val="16"/>
                <w:szCs w:val="16"/>
                <w:lang w:eastAsia="hr-HR"/>
              </w:rPr>
            </w:pPr>
            <w:r w:rsidRPr="00CA010B">
              <w:rPr>
                <w:rFonts w:ascii="Arial" w:eastAsia="Times New Roman" w:hAnsi="Arial" w:cs="Arial"/>
                <w:b/>
                <w:bCs/>
                <w:color w:val="000000"/>
                <w:sz w:val="16"/>
                <w:szCs w:val="16"/>
                <w:lang w:eastAsia="hr-HR"/>
              </w:rPr>
              <w:t>11.664,43</w:t>
            </w:r>
          </w:p>
        </w:tc>
      </w:tr>
    </w:tbl>
    <w:p w:rsidR="00CA010B" w:rsidRDefault="00CA010B" w:rsidP="00CA010B">
      <w:pPr>
        <w:jc w:val="both"/>
      </w:pPr>
    </w:p>
    <w:p w:rsidR="00CA010B" w:rsidRDefault="00CA010B" w:rsidP="00CA010B">
      <w:pPr>
        <w:jc w:val="both"/>
      </w:pPr>
      <w:r>
        <w:t>Iznos od 11.664,43 eura  predstavlja  rezultat poslovanja (manjak) u 2024. godini te su zbog toga planirani veći prihodi, za pokriće tog manjka.</w:t>
      </w:r>
      <w:r>
        <w:tab/>
      </w:r>
      <w:r>
        <w:tab/>
      </w:r>
      <w:r>
        <w:tab/>
      </w:r>
      <w:r>
        <w:tab/>
      </w:r>
      <w:r>
        <w:tab/>
      </w:r>
      <w:r>
        <w:tab/>
      </w:r>
    </w:p>
    <w:p w:rsidR="00CA010B" w:rsidRDefault="00CA010B" w:rsidP="00CA010B">
      <w:pPr>
        <w:jc w:val="both"/>
      </w:pPr>
      <w:r>
        <w:t>IZVOR  1.3. – ZAKONSKI STANDARD</w:t>
      </w:r>
      <w:r>
        <w:tab/>
      </w:r>
      <w:r>
        <w:tab/>
      </w:r>
      <w:r>
        <w:tab/>
      </w:r>
      <w:r>
        <w:tab/>
      </w:r>
      <w:r>
        <w:tab/>
      </w:r>
      <w:r>
        <w:tab/>
      </w:r>
    </w:p>
    <w:p w:rsidR="00CA010B" w:rsidRDefault="00CA010B" w:rsidP="00CA010B">
      <w:pPr>
        <w:jc w:val="both"/>
      </w:pPr>
      <w:r>
        <w:t>Na rashodovnoj strani (a slijedom toga i na prihodovnoj strani)  prijedloga  rebalansa plana za 2025. godinu  u masi sredstava iznos se povećao za 15.779,00 eura, a veza</w:t>
      </w:r>
      <w:r w:rsidR="008A6B28">
        <w:t>n</w:t>
      </w:r>
      <w:r>
        <w:t xml:space="preserve">o uz sklopljeni Ugovor sa HEP-om za financiranje izgradnje elektroenergetskih objekata potrebnih za priključenje građevine Srednje škole na elektroenergetsku mrežu.   </w:t>
      </w:r>
      <w:r>
        <w:tab/>
      </w:r>
      <w:r>
        <w:tab/>
      </w:r>
      <w:r>
        <w:tab/>
      </w:r>
      <w:r>
        <w:tab/>
      </w:r>
      <w:r>
        <w:tab/>
      </w:r>
      <w:r>
        <w:tab/>
      </w:r>
    </w:p>
    <w:p w:rsidR="00CA010B" w:rsidRDefault="00CA010B" w:rsidP="00CA010B">
      <w:pPr>
        <w:jc w:val="both"/>
      </w:pPr>
      <w:r>
        <w:t xml:space="preserve">Na računima rashoda poslovanja na tzv. petoj razini plana postoje određena odstupanja od izvornog plana, ali nisu rađene korekcije jer se realizacija gleda na tzv. drugoj razini plana gdje izvorni plan nije premašen.  </w:t>
      </w:r>
      <w:r>
        <w:tab/>
      </w:r>
      <w:r>
        <w:tab/>
      </w:r>
      <w:r>
        <w:tab/>
      </w:r>
      <w:r>
        <w:tab/>
      </w:r>
      <w:r>
        <w:tab/>
      </w:r>
      <w:r>
        <w:tab/>
      </w:r>
    </w:p>
    <w:p w:rsidR="00CA010B" w:rsidRDefault="00CA010B" w:rsidP="00CA010B">
      <w:pPr>
        <w:jc w:val="both"/>
      </w:pPr>
      <w:r>
        <w:t>IZVOR 1.1. – PRIHODI OD POREZA ZA REDOVNU DJELATNOST</w:t>
      </w:r>
      <w:r>
        <w:tab/>
      </w:r>
      <w:r>
        <w:tab/>
      </w:r>
      <w:r>
        <w:tab/>
      </w:r>
      <w:r>
        <w:tab/>
      </w:r>
      <w:r>
        <w:tab/>
      </w:r>
    </w:p>
    <w:p w:rsidR="00CA010B" w:rsidRDefault="00CA010B" w:rsidP="00CA010B">
      <w:pPr>
        <w:jc w:val="both"/>
      </w:pPr>
      <w:r>
        <w:t>Na izvoru 1.1. na kojem se nalaze sredstva za financiranje rashoda iz prihoda od poreza za redovnu djelatnost (županijska sredstva), prvenstveno za financiranje županijskih i međužupanijskih  natjecanja učenika i dio koji je predviđen za plaće pomoćnika u nastavi u sklopu projekta Prilika za sve 7</w:t>
      </w:r>
      <w:r w:rsidR="008A6B28">
        <w:t xml:space="preserve">, </w:t>
      </w:r>
      <w:r>
        <w:t xml:space="preserve">  </w:t>
      </w:r>
      <w:r w:rsidR="008A6B28">
        <w:t>p</w:t>
      </w:r>
      <w:r>
        <w:t xml:space="preserve">lan je povećan za 11.721,00  eura također vezano uz gore navedeni Ugovor s HEP-om. Prilika za sve 7 se nastavlja u školskoj godini 2025/26, Školska shema isto, te su prihodi i rashodi svedeni na planiranu potrošnju do kraja kalendarske godine. Rashodi za financiranje županijskih natjecanja svedeni su na 0,00 jer je od ove godine financiranje prijevoza učenika, plaćanje sportskih sudaca i ostalo (vezano uz sportska natjecanja koja su se održala u organizaciji naše škole) preuzeo Hrvatski školski sportski savez. </w:t>
      </w:r>
      <w:r>
        <w:tab/>
      </w:r>
      <w:r>
        <w:tab/>
      </w:r>
      <w:r>
        <w:tab/>
      </w:r>
      <w:r>
        <w:tab/>
      </w:r>
      <w:r>
        <w:tab/>
      </w:r>
      <w:r>
        <w:tab/>
      </w:r>
    </w:p>
    <w:p w:rsidR="00CA010B" w:rsidRDefault="00CA010B" w:rsidP="00CA010B">
      <w:pPr>
        <w:jc w:val="both"/>
      </w:pPr>
      <w:r>
        <w:lastRenderedPageBreak/>
        <w:t>IZVOR 3.1. I 4.5. VLASTITI PRIHODI I PRIHODI ZA POSEBNE NAMJENE</w:t>
      </w:r>
      <w:r>
        <w:tab/>
      </w:r>
      <w:r>
        <w:tab/>
      </w:r>
      <w:r>
        <w:tab/>
      </w:r>
      <w:r>
        <w:tab/>
      </w:r>
    </w:p>
    <w:p w:rsidR="00CA010B" w:rsidRDefault="00CA010B" w:rsidP="00CA010B">
      <w:pPr>
        <w:jc w:val="both"/>
      </w:pPr>
      <w:r>
        <w:t>Vlastiti  prihod i rashodi, izvor 3.1. korigirani su za preneseni višak iz prethodne godine od 5.881,89 eura, a prihodi i rashodi za posebne namjene ovim rebalansom nisu mijenjani.</w:t>
      </w:r>
      <w:r>
        <w:tab/>
      </w:r>
      <w:r>
        <w:tab/>
      </w:r>
      <w:r>
        <w:tab/>
      </w:r>
    </w:p>
    <w:p w:rsidR="00CA010B" w:rsidRDefault="00CA010B" w:rsidP="00CA010B">
      <w:pPr>
        <w:jc w:val="both"/>
      </w:pPr>
      <w:r>
        <w:t>U plan je uvršteno trošenje  dijela vlastitih  sredstava vezano uz rashode za zaposlene (za obrazovanje odraslih te dežurstva  spremača vezano uz aktivnosti u sportskoj dvorani ) te  u poboljšanje materijalnih uvjeta u školi, ali smo dio sredstava planirali i na stavkama energije, u slučaju znatnog povećanja rashoda na stavkama plina i električne energije zbog povećanja cijena. Ostatak je raspodijeljen na stavke materijalni rashod</w:t>
      </w:r>
      <w:r w:rsidR="008A6B28">
        <w:t>i</w:t>
      </w:r>
      <w:r>
        <w:t xml:space="preserve"> – nastavi materijal (vezano uglavnom uz rad učeničke zadruge),  usluga tekućeg i investicijskog održavanja zgrade i opreme te na opremanje škole.  </w:t>
      </w:r>
      <w:r>
        <w:tab/>
      </w:r>
    </w:p>
    <w:p w:rsidR="00CA010B" w:rsidRDefault="00CA010B" w:rsidP="00CA010B">
      <w:pPr>
        <w:jc w:val="both"/>
      </w:pPr>
      <w:r>
        <w:t xml:space="preserve">IZVOR 5.3. – </w:t>
      </w:r>
      <w:r w:rsidR="00871E8C">
        <w:t>odnosi se na redovni program srednjeg školstva – upravljanje i administracija, rashodi za zaposlene – rebalansom uvršteno povećanje od  560.000,00 eura zbog znatnog rasta plaća u ovoj godini. P</w:t>
      </w:r>
      <w:r>
        <w:t xml:space="preserve">ovećan je iznos na stavkama prihoda i rashoda za zaposlene, konta skupine 31 kako bi se uskladilo s realnim troškovima   za plaće do kraja godine. </w:t>
      </w:r>
      <w:r>
        <w:tab/>
      </w:r>
      <w:r>
        <w:tab/>
      </w:r>
      <w:r>
        <w:tab/>
      </w:r>
      <w:r>
        <w:tab/>
      </w:r>
      <w:r>
        <w:tab/>
      </w:r>
    </w:p>
    <w:p w:rsidR="00CA010B" w:rsidRDefault="00CA010B" w:rsidP="00CA010B">
      <w:pPr>
        <w:jc w:val="both"/>
      </w:pPr>
      <w:r>
        <w:t>IZVOR  5.5. – pomoći iz proračuna koji nije nadležan</w:t>
      </w:r>
      <w:r w:rsidR="008C6DA2">
        <w:t xml:space="preserve"> - </w:t>
      </w:r>
      <w:r w:rsidR="00E26BA9">
        <w:t xml:space="preserve"> pokriven je manjak od </w:t>
      </w:r>
      <w:r w:rsidR="008C6DA2">
        <w:t xml:space="preserve">45.675,00 iz 2024. godine  doznakom sredstava iz Državnog proračuna i napravljene su korekcije planiranih rashoda zbog odustajanja od nastavka projekta izgradnje nove zgrade Srednje škole  (izrada projektne dokumentacije). Isto tako smanjena su planirana sredstva za rashode za zaposlene koja su bila predviđena za plaću iz mjere pripravništva, koja nije realizirana. </w:t>
      </w:r>
      <w:r>
        <w:tab/>
      </w:r>
      <w:r>
        <w:tab/>
      </w:r>
    </w:p>
    <w:p w:rsidR="00CA010B" w:rsidRDefault="00CA010B" w:rsidP="00CA010B">
      <w:pPr>
        <w:jc w:val="both"/>
      </w:pPr>
      <w:r>
        <w:t xml:space="preserve">IZVOR 5.6.  – odnosi se na usklađenje utrošenih sredstava projekta Prilika za sve </w:t>
      </w:r>
      <w:r w:rsidR="008C6DA2">
        <w:t>7</w:t>
      </w:r>
      <w:r>
        <w:t xml:space="preserve"> – svedeno na stvarno utrošeno  i </w:t>
      </w:r>
      <w:r w:rsidR="008C6DA2">
        <w:t>povećanje za nastavak projekta s jednim pomoćnikom više (ukupno tri pomoćnika u nastavi).</w:t>
      </w:r>
      <w:r>
        <w:t xml:space="preserve"> </w:t>
      </w:r>
      <w:r w:rsidR="008C6DA2">
        <w:t xml:space="preserve"> Isto tako, školska shema za šk. godinu 2024/25. svedena je na realizirano i otvorena nova za školsku godinu 2025/25. u iznosu od 3.015,00 eura.</w:t>
      </w:r>
      <w:r>
        <w:tab/>
      </w:r>
      <w:r>
        <w:tab/>
      </w:r>
      <w:r>
        <w:tab/>
      </w:r>
      <w:r>
        <w:tab/>
      </w:r>
      <w:r>
        <w:tab/>
      </w:r>
      <w:r>
        <w:tab/>
      </w:r>
    </w:p>
    <w:p w:rsidR="00CA010B" w:rsidRDefault="00CA010B" w:rsidP="00CA010B">
      <w:pPr>
        <w:jc w:val="both"/>
      </w:pPr>
      <w:r>
        <w:t xml:space="preserve">IZVOR  5.8.   EU PROJEKTI  ŠKOLA - na EU projektima povećan  je iznos  za </w:t>
      </w:r>
      <w:r w:rsidR="00566357">
        <w:t>59.374,32</w:t>
      </w:r>
      <w:r>
        <w:t xml:space="preserve"> eura zbog </w:t>
      </w:r>
      <w:r w:rsidR="00566357">
        <w:t xml:space="preserve">viška sredstava prenesenog iz prethodne godine. </w:t>
      </w:r>
      <w:r>
        <w:tab/>
      </w:r>
      <w:r>
        <w:tab/>
      </w:r>
      <w:r>
        <w:tab/>
      </w:r>
      <w:r>
        <w:tab/>
      </w:r>
      <w:r>
        <w:tab/>
      </w:r>
      <w:r>
        <w:tab/>
      </w:r>
    </w:p>
    <w:p w:rsidR="00B1722B" w:rsidRDefault="00566357" w:rsidP="00CA010B">
      <w:pPr>
        <w:jc w:val="both"/>
      </w:pPr>
      <w:r>
        <w:t xml:space="preserve">Na izvorima </w:t>
      </w:r>
      <w:r w:rsidR="00CA010B">
        <w:t xml:space="preserve"> 6.3.</w:t>
      </w:r>
      <w:r>
        <w:t xml:space="preserve"> (donacije), </w:t>
      </w:r>
      <w:r w:rsidR="00CA010B">
        <w:t xml:space="preserve"> 7.2.</w:t>
      </w:r>
      <w:r>
        <w:t xml:space="preserve"> i 7.3. (prihodi od prodaje imovine i naknade šteta)</w:t>
      </w:r>
      <w:r w:rsidR="00CA010B">
        <w:t xml:space="preserve"> nisu rađene promjene.</w:t>
      </w:r>
      <w:r w:rsidR="00CA010B">
        <w:tab/>
      </w:r>
      <w:r w:rsidR="00CA010B">
        <w:tab/>
      </w:r>
      <w:r w:rsidR="00CA010B">
        <w:tab/>
      </w:r>
      <w:r w:rsidR="00CA010B">
        <w:tab/>
      </w:r>
      <w:r w:rsidR="00CA010B">
        <w:tab/>
      </w:r>
      <w:r w:rsidR="00CA010B">
        <w:tab/>
      </w:r>
    </w:p>
    <w:sectPr w:rsidR="00B17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0B"/>
    <w:rsid w:val="001C5313"/>
    <w:rsid w:val="00566357"/>
    <w:rsid w:val="00871E8C"/>
    <w:rsid w:val="008A6B28"/>
    <w:rsid w:val="008C6DA2"/>
    <w:rsid w:val="00B05AEB"/>
    <w:rsid w:val="00B1722B"/>
    <w:rsid w:val="00C94483"/>
    <w:rsid w:val="00CA010B"/>
    <w:rsid w:val="00E26B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ABE71-EDFC-4A02-80C1-FE82C8CE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0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705</Words>
  <Characters>4020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dc:description/>
  <cp:lastModifiedBy>racunovodstvo</cp:lastModifiedBy>
  <cp:revision>3</cp:revision>
  <cp:lastPrinted>2025-10-23T06:22:00Z</cp:lastPrinted>
  <dcterms:created xsi:type="dcterms:W3CDTF">2025-10-21T07:20:00Z</dcterms:created>
  <dcterms:modified xsi:type="dcterms:W3CDTF">2025-11-14T07:10:00Z</dcterms:modified>
</cp:coreProperties>
</file>